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9871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1B35EE76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7F09DC50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3855D2CA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4F844E3F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21BAAFF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14:paraId="11FC56FE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pro integrované projekty </w:t>
      </w:r>
      <w:r w:rsidR="00A7490C">
        <w:rPr>
          <w:rFonts w:ascii="Cambria" w:hAnsi="Cambria" w:cs="MyriadPro-Black"/>
          <w:caps/>
          <w:sz w:val="60"/>
          <w:szCs w:val="60"/>
        </w:rPr>
        <w:t>CLLD</w:t>
      </w:r>
    </w:p>
    <w:p w14:paraId="18A208B8" w14:textId="77777777" w:rsidR="00FF4CE5" w:rsidRDefault="00FF4CE5" w:rsidP="00FF4CE5"/>
    <w:p w14:paraId="1B354866" w14:textId="77777777" w:rsidR="00FF4CE5" w:rsidRDefault="00FF4CE5" w:rsidP="00FF4CE5"/>
    <w:p w14:paraId="66272474" w14:textId="77777777" w:rsidR="00FF4CE5" w:rsidRPr="0017758F" w:rsidRDefault="00FF4CE5" w:rsidP="00FF4CE5">
      <w:pPr>
        <w:rPr>
          <w:rFonts w:cs="MyriadPro-Black"/>
          <w:caps/>
          <w:color w:val="A6A6A6"/>
          <w:sz w:val="40"/>
          <w:szCs w:val="40"/>
        </w:rPr>
      </w:pPr>
      <w:r w:rsidRPr="0017758F"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17758F">
        <w:rPr>
          <w:rFonts w:cs="MyriadPro-Black"/>
          <w:caps/>
          <w:color w:val="A6A6A6"/>
          <w:sz w:val="40"/>
          <w:szCs w:val="40"/>
        </w:rPr>
        <w:t>4.1</w:t>
      </w:r>
    </w:p>
    <w:p w14:paraId="06AE6736" w14:textId="77777777" w:rsidR="00FF4CE5" w:rsidRDefault="00FF4CE5" w:rsidP="00FF4CE5">
      <w:pPr>
        <w:rPr>
          <w:rFonts w:cs="Arial"/>
          <w:b/>
          <w:color w:val="A6A6A6"/>
          <w:sz w:val="40"/>
          <w:szCs w:val="40"/>
        </w:rPr>
      </w:pPr>
      <w:r w:rsidRPr="0017758F">
        <w:rPr>
          <w:rFonts w:cs="MyriadPro-Black"/>
          <w:caps/>
          <w:color w:val="A6A6A6"/>
          <w:sz w:val="40"/>
          <w:szCs w:val="40"/>
        </w:rPr>
        <w:t xml:space="preserve">průběžná výzva Č. </w:t>
      </w:r>
      <w:r w:rsidR="0017758F" w:rsidRPr="0017758F">
        <w:rPr>
          <w:rFonts w:cs="MyriadPro-Black"/>
          <w:caps/>
          <w:color w:val="A6A6A6"/>
          <w:sz w:val="40"/>
          <w:szCs w:val="40"/>
        </w:rPr>
        <w:t>68</w:t>
      </w:r>
    </w:p>
    <w:p w14:paraId="6BBA39C3" w14:textId="77777777" w:rsidR="00FF4CE5" w:rsidRDefault="00FF4CE5" w:rsidP="00FF4CE5">
      <w:pPr>
        <w:spacing w:after="0"/>
        <w:rPr>
          <w:rFonts w:cs="Arial"/>
          <w:b/>
          <w:sz w:val="40"/>
          <w:szCs w:val="40"/>
        </w:rPr>
      </w:pPr>
    </w:p>
    <w:p w14:paraId="6246E20D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</w:t>
      </w:r>
      <w:r w:rsidR="004744B6">
        <w:rPr>
          <w:rFonts w:ascii="Cambria" w:hAnsi="Cambria" w:cs="MyriadPro-Black"/>
          <w:caps/>
          <w:color w:val="auto"/>
          <w:sz w:val="40"/>
          <w:szCs w:val="40"/>
        </w:rPr>
        <w:t xml:space="preserve"> 6</w:t>
      </w:r>
    </w:p>
    <w:p w14:paraId="545B026F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27943E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14:paraId="412DC343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13A8C7D8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D076F87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314E6184" w14:textId="77777777"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6FFC5C5" w14:textId="2BE1863D" w:rsidR="00FF4CE5" w:rsidRDefault="000B552A">
      <w:pPr>
        <w:spacing w:line="276" w:lineRule="auto"/>
      </w:pPr>
      <w:r w:rsidRPr="00BA7BDE"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FC4403">
        <w:rPr>
          <w:rFonts w:cs="MyriadPro-Black"/>
          <w:caps/>
          <w:color w:val="A6A6A6"/>
          <w:sz w:val="32"/>
          <w:szCs w:val="40"/>
        </w:rPr>
        <w:t>3</w:t>
      </w:r>
      <w:r w:rsidR="0017758F" w:rsidRPr="00BA7BDE">
        <w:rPr>
          <w:rFonts w:cs="MyriadPro-Black"/>
          <w:caps/>
          <w:color w:val="A6A6A6"/>
          <w:sz w:val="32"/>
          <w:szCs w:val="40"/>
        </w:rPr>
        <w:t xml:space="preserve">. </w:t>
      </w:r>
      <w:r w:rsidR="00FC4403">
        <w:rPr>
          <w:rFonts w:cs="MyriadPro-Black"/>
          <w:caps/>
          <w:color w:val="A6A6A6"/>
          <w:sz w:val="32"/>
          <w:szCs w:val="40"/>
        </w:rPr>
        <w:t>5</w:t>
      </w:r>
      <w:r w:rsidR="0017758F" w:rsidRPr="00BA7BDE">
        <w:rPr>
          <w:rFonts w:cs="MyriadPro-Black"/>
          <w:caps/>
          <w:color w:val="A6A6A6"/>
          <w:sz w:val="32"/>
          <w:szCs w:val="40"/>
        </w:rPr>
        <w:t>.</w:t>
      </w:r>
      <w:r w:rsidRPr="00BA7BDE">
        <w:rPr>
          <w:rFonts w:cs="MyriadPro-Black"/>
          <w:caps/>
          <w:color w:val="A6A6A6"/>
          <w:sz w:val="32"/>
          <w:szCs w:val="40"/>
        </w:rPr>
        <w:t xml:space="preserve"> 201</w:t>
      </w:r>
      <w:r w:rsidR="007461DC">
        <w:rPr>
          <w:rFonts w:cs="MyriadPro-Black"/>
          <w:caps/>
          <w:color w:val="A6A6A6"/>
          <w:sz w:val="32"/>
          <w:szCs w:val="40"/>
        </w:rPr>
        <w:t>8</w:t>
      </w:r>
      <w:r w:rsidR="00FF4CE5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0C06" w:rsidRPr="00CD129C" w14:paraId="0665F047" w14:textId="77777777" w:rsidTr="006D3E69">
        <w:tc>
          <w:tcPr>
            <w:tcW w:w="4606" w:type="dxa"/>
          </w:tcPr>
          <w:p w14:paraId="3D52CE9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lastRenderedPageBreak/>
              <w:t>Stavby</w:t>
            </w:r>
          </w:p>
          <w:p w14:paraId="2CCD31C8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56FB89D7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Stavební úpravy</w:t>
            </w:r>
          </w:p>
          <w:p w14:paraId="0AE3E230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369002F" w14:textId="0A51E460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 xml:space="preserve">Demolice </w:t>
            </w:r>
            <w:bookmarkStart w:id="0" w:name="_GoBack"/>
            <w:bookmarkEnd w:id="0"/>
          </w:p>
        </w:tc>
        <w:tc>
          <w:tcPr>
            <w:tcW w:w="4606" w:type="dxa"/>
          </w:tcPr>
          <w:p w14:paraId="4E39067B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 identifikací předmětu plnění pro posouzení způsobilosti výdaje; </w:t>
            </w:r>
          </w:p>
          <w:p w14:paraId="7CBA7CBD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1950599F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3A8ADF16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dílo vč. položkového rozpočtu stavby, případně dodatky smlouvy o dílo;</w:t>
            </w:r>
          </w:p>
          <w:p w14:paraId="7C9D1CEA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protokol o předání a převzetí díla/stavby;</w:t>
            </w:r>
          </w:p>
          <w:p w14:paraId="326B399D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kolaudační rozhodnutí či souhlas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568E1892" w14:textId="6363560D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rozho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dnutí o 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k 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předčasném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u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už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ívání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stavby;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24517F65" w14:textId="6B196CAF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rozhodnutí o 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zkušební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ho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provozu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před vydáním kolaudačního souhlasu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05E4F512" w14:textId="71F431F6" w:rsidR="00FC4403" w:rsidRPr="00FC4403" w:rsidRDefault="002E0C06" w:rsidP="0017758F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demoliční výměr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6590FDD0" w14:textId="7B952BB3" w:rsidR="00A936F7" w:rsidRPr="00FC4403" w:rsidRDefault="00A936F7" w:rsidP="00FC4403">
            <w:pPr>
              <w:ind w:left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2E0C06" w:rsidRPr="00CD129C" w14:paraId="35BFAA45" w14:textId="77777777" w:rsidTr="006D3E69">
        <w:tc>
          <w:tcPr>
            <w:tcW w:w="4606" w:type="dxa"/>
          </w:tcPr>
          <w:p w14:paraId="0FBF93DC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Nákupy pozemku</w:t>
            </w:r>
          </w:p>
          <w:p w14:paraId="43981E03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3DC430AE" w14:textId="77777777" w:rsidR="002E0C06" w:rsidRPr="00CD129C" w:rsidRDefault="002E0C06" w:rsidP="002E0C06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do 10 % celkových způsobilých výdajů projektu </w:t>
            </w:r>
          </w:p>
          <w:p w14:paraId="2A8C6A04" w14:textId="77777777" w:rsidR="002E0C06" w:rsidRPr="003C0C25" w:rsidRDefault="002E0C06" w:rsidP="002E0C06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pořizovací cena max. do výše ceny zjištěné znaleckým posudkem</w:t>
            </w:r>
          </w:p>
          <w:p w14:paraId="67CBD705" w14:textId="77777777" w:rsidR="003C0C25" w:rsidRPr="00CD129C" w:rsidRDefault="003C0C25" w:rsidP="003C0C25">
            <w:pPr>
              <w:tabs>
                <w:tab w:val="left" w:pos="4050"/>
              </w:tabs>
              <w:spacing w:before="24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Nákupy staveb</w:t>
            </w:r>
          </w:p>
          <w:p w14:paraId="1204C42B" w14:textId="77777777" w:rsidR="003C0C25" w:rsidRPr="00CD129C" w:rsidRDefault="003C0C25" w:rsidP="003C0C25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5BE667EE" w14:textId="77777777" w:rsidR="003C0C25" w:rsidRPr="003C0C25" w:rsidRDefault="003C0C25" w:rsidP="003C0C25">
            <w:pPr>
              <w:pStyle w:val="Odstavecseseznamem"/>
              <w:numPr>
                <w:ilvl w:val="0"/>
                <w:numId w:val="29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3C0C25">
              <w:rPr>
                <w:rFonts w:cs="Arial"/>
                <w:sz w:val="22"/>
                <w:szCs w:val="22"/>
                <w:lang w:val="cs-CZ"/>
              </w:rPr>
              <w:t>pořizovací cena max. do výše ceny zjištěné znaleckým posudkem</w:t>
            </w:r>
          </w:p>
        </w:tc>
        <w:tc>
          <w:tcPr>
            <w:tcW w:w="4606" w:type="dxa"/>
          </w:tcPr>
          <w:p w14:paraId="312E0C26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4E94DCDA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kupní smlouva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3FE9893D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doložení vlastnictví (výpis z katastru nemovitostí, popř. návrh na vklad do katastru nemovitostí, vyrozumění katastrálního úřadu o zapsání vlastnického práva k pozemku); </w:t>
            </w:r>
          </w:p>
          <w:p w14:paraId="7D42AE2A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znalecký posudek ne starší šesti měsíců před datem pořízení 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nemovitosti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02208CA1" w14:textId="77777777" w:rsidR="002E0C06" w:rsidRPr="00CD129C" w:rsidRDefault="002E0C06" w:rsidP="006D3E69">
            <w:pPr>
              <w:ind w:left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</w:tc>
      </w:tr>
      <w:tr w:rsidR="002E0C06" w:rsidRPr="00CD129C" w14:paraId="04513E0F" w14:textId="77777777" w:rsidTr="006D3E69">
        <w:tc>
          <w:tcPr>
            <w:tcW w:w="4606" w:type="dxa"/>
          </w:tcPr>
          <w:p w14:paraId="14F3F23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Projektová dokumentace</w:t>
            </w:r>
          </w:p>
          <w:p w14:paraId="6DA0B81E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49C44C50" w14:textId="77777777" w:rsidR="002E0C06" w:rsidRPr="00CD129C" w:rsidRDefault="002E0C06" w:rsidP="002E0C06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projektové dokumentace stavby a související průzkumy stavby</w:t>
            </w:r>
          </w:p>
          <w:p w14:paraId="0AB064D2" w14:textId="77777777" w:rsidR="002E0C06" w:rsidRPr="00CD129C" w:rsidRDefault="002E0C06" w:rsidP="002E0C06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dokumentace k procesu EIA</w:t>
            </w:r>
          </w:p>
          <w:p w14:paraId="2C1871E8" w14:textId="77777777" w:rsidR="002E0C06" w:rsidRPr="00CD129C" w:rsidRDefault="002E0C06" w:rsidP="002E0C06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studie proveditelnosti</w:t>
            </w:r>
          </w:p>
          <w:p w14:paraId="40D68BC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01BE0BFF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72DEE4EA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popř. předávací protokol;</w:t>
            </w:r>
          </w:p>
          <w:p w14:paraId="6C00D673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0773B32E" w14:textId="77777777" w:rsidR="002E0C06" w:rsidRPr="00FC4403" w:rsidRDefault="002E0C06" w:rsidP="0017758F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772FEAD7" w14:textId="7CBD5BB2" w:rsidR="00A936F7" w:rsidRPr="00CD129C" w:rsidRDefault="00A936F7" w:rsidP="00FC4403">
            <w:pPr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2E0C06" w:rsidRPr="00CD129C" w14:paraId="26B93865" w14:textId="77777777" w:rsidTr="006D3E69">
        <w:tc>
          <w:tcPr>
            <w:tcW w:w="4606" w:type="dxa"/>
          </w:tcPr>
          <w:p w14:paraId="3BC673FB" w14:textId="77777777" w:rsidR="002E0C06" w:rsidRPr="00CD129C" w:rsidRDefault="002E0C06" w:rsidP="006D3E69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 xml:space="preserve">Zabezpečení výstavby </w:t>
            </w:r>
          </w:p>
          <w:p w14:paraId="475C364E" w14:textId="77777777" w:rsidR="002E0C06" w:rsidRPr="00CD129C" w:rsidRDefault="002E0C06" w:rsidP="006D3E69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</w:p>
          <w:p w14:paraId="379C2B2C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technický dozor investora</w:t>
            </w:r>
          </w:p>
          <w:p w14:paraId="7D3112D8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BOZP</w:t>
            </w:r>
          </w:p>
          <w:p w14:paraId="5EACDCD5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autorský dozor</w:t>
            </w:r>
          </w:p>
        </w:tc>
        <w:tc>
          <w:tcPr>
            <w:tcW w:w="4606" w:type="dxa"/>
          </w:tcPr>
          <w:p w14:paraId="28A0B4AB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383FBD11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004510D1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74A2DB05" w14:textId="77777777" w:rsidR="002E0C06" w:rsidRPr="00CD129C" w:rsidRDefault="002E0C06" w:rsidP="0017758F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017E7823" w14:textId="77777777" w:rsidTr="006D3E69">
        <w:tc>
          <w:tcPr>
            <w:tcW w:w="4606" w:type="dxa"/>
          </w:tcPr>
          <w:p w14:paraId="2AB53A02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lastRenderedPageBreak/>
              <w:t xml:space="preserve">Pořízení drobného hmotného majetku </w:t>
            </w:r>
          </w:p>
          <w:p w14:paraId="057F24DD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drobného nehmotného majetku </w:t>
            </w:r>
          </w:p>
          <w:p w14:paraId="79B5E65B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hmotného majetku </w:t>
            </w:r>
          </w:p>
          <w:p w14:paraId="52533A7A" w14:textId="77777777" w:rsidR="002E0C06" w:rsidRPr="00CD129C" w:rsidRDefault="002E0C06" w:rsidP="0017758F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nehmotného majetku </w:t>
            </w:r>
          </w:p>
        </w:tc>
        <w:tc>
          <w:tcPr>
            <w:tcW w:w="4606" w:type="dxa"/>
          </w:tcPr>
          <w:p w14:paraId="5DF73941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705C51C5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20B9E6A2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600FF8B4" w14:textId="77777777" w:rsidR="002E0C06" w:rsidRPr="00FC4403" w:rsidRDefault="002E0C06" w:rsidP="0017758F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 w:rsidR="00EB0444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16D19644" w14:textId="5FFBF5C2" w:rsidR="00FC4403" w:rsidRPr="00CD129C" w:rsidRDefault="00FC4403" w:rsidP="00FC4403">
            <w:pPr>
              <w:ind w:left="338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</w:tr>
      <w:tr w:rsidR="002E0C06" w:rsidRPr="00CD129C" w14:paraId="42A1BFEA" w14:textId="77777777" w:rsidTr="006D3E69">
        <w:tc>
          <w:tcPr>
            <w:tcW w:w="4606" w:type="dxa"/>
          </w:tcPr>
          <w:p w14:paraId="6BD38A7D" w14:textId="77777777" w:rsidR="002E0C06" w:rsidRPr="00CD129C" w:rsidRDefault="002E0C06" w:rsidP="006D3E69">
            <w:pPr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Pořízení služeb bezprostředně souvisejících s realizací projektu:</w:t>
            </w:r>
          </w:p>
          <w:p w14:paraId="2D74CAF5" w14:textId="77777777" w:rsidR="002E0C06" w:rsidRPr="00CD129C" w:rsidRDefault="002E0C06" w:rsidP="006D3E69">
            <w:pPr>
              <w:pStyle w:val="Odstavecseseznamem"/>
              <w:spacing w:line="276" w:lineRule="auto"/>
              <w:rPr>
                <w:b/>
                <w:bCs/>
                <w:sz w:val="22"/>
                <w:szCs w:val="22"/>
                <w:lang w:val="cs-CZ"/>
              </w:rPr>
            </w:pPr>
          </w:p>
          <w:p w14:paraId="749AED72" w14:textId="77777777" w:rsidR="002E0C06" w:rsidRPr="00CD129C" w:rsidRDefault="002E0C06" w:rsidP="002E0C06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Studie proveditelnosti,</w:t>
            </w:r>
          </w:p>
          <w:p w14:paraId="76942373" w14:textId="77777777" w:rsidR="002E0C06" w:rsidRPr="00CD129C" w:rsidRDefault="002E0C06" w:rsidP="002E0C06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zadávací a výběrová řízení (výdaje spojené s přípravou a realizací zadávacích a výběrových řízení)</w:t>
            </w:r>
          </w:p>
          <w:p w14:paraId="2C20E87E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0583EB0A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30DC9A21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14:paraId="2F647A9F" w14:textId="77777777" w:rsidR="00D467A8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doklady o zaplacení; </w:t>
            </w:r>
          </w:p>
          <w:p w14:paraId="1A11A002" w14:textId="1E4DF2B3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B56868">
              <w:rPr>
                <w:rFonts w:asciiTheme="majorHAnsi" w:hAnsiTheme="majorHAnsi"/>
                <w:sz w:val="22"/>
                <w:szCs w:val="22"/>
                <w:lang w:val="cs-CZ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31343329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 w:rsidR="00D24580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dílo, případně její dodatky; </w:t>
            </w:r>
          </w:p>
          <w:p w14:paraId="3A9B7BD8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způsob výpočtu alikvotní částky, pokud se uplatňuje poměrná část výdaje pro projekt;</w:t>
            </w:r>
          </w:p>
          <w:p w14:paraId="79EAE009" w14:textId="77777777" w:rsidR="002E0C06" w:rsidRPr="00CD129C" w:rsidRDefault="002E0C06" w:rsidP="0017758F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</w:t>
            </w:r>
            <w:r w:rsidR="0017758F" w:rsidRP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094992E0" w14:textId="77777777" w:rsidTr="006D3E69">
        <w:tc>
          <w:tcPr>
            <w:tcW w:w="4606" w:type="dxa"/>
          </w:tcPr>
          <w:p w14:paraId="524C5D95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Povinná publicita</w:t>
            </w:r>
          </w:p>
          <w:p w14:paraId="56AEF458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10E0BE4C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18F1136C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18" w:hanging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382D758" w14:textId="22087C5E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 w:rsidR="007461DC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dílo, případně její dodatky;</w:t>
            </w:r>
          </w:p>
          <w:p w14:paraId="7D8C4540" w14:textId="77777777" w:rsidR="002E0C06" w:rsidRPr="00CD129C" w:rsidRDefault="002E0C06" w:rsidP="0017758F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</w:t>
            </w:r>
            <w:r w:rsidR="00D24580" w:rsidRP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1040555D" w14:textId="77777777" w:rsidTr="006D3E69">
        <w:tc>
          <w:tcPr>
            <w:tcW w:w="4606" w:type="dxa"/>
          </w:tcPr>
          <w:p w14:paraId="66946122" w14:textId="77777777" w:rsidR="00D24580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DPH</w:t>
            </w:r>
          </w:p>
        </w:tc>
        <w:tc>
          <w:tcPr>
            <w:tcW w:w="4606" w:type="dxa"/>
          </w:tcPr>
          <w:p w14:paraId="655F334F" w14:textId="77777777" w:rsidR="002E0C06" w:rsidRPr="00FC4403" w:rsidRDefault="002E0C06" w:rsidP="00FC4403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</w:t>
            </w:r>
            <w:r w:rsidR="0017758F"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při využití přenesené daňové povinnosti kopie evidence pro daňové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účely a kopie výpisu z bankovního účtu jako doklad o úhradě daňové povinnosti OFS.</w:t>
            </w:r>
          </w:p>
        </w:tc>
      </w:tr>
      <w:tr w:rsidR="002E0C06" w:rsidRPr="00CD129C" w14:paraId="6A60BC86" w14:textId="77777777" w:rsidTr="006D3E69">
        <w:tc>
          <w:tcPr>
            <w:tcW w:w="4606" w:type="dxa"/>
          </w:tcPr>
          <w:p w14:paraId="0F178756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lastRenderedPageBreak/>
              <w:t>Účetní doklady do 10 000 Kč</w:t>
            </w:r>
          </w:p>
        </w:tc>
        <w:tc>
          <w:tcPr>
            <w:tcW w:w="4606" w:type="dxa"/>
          </w:tcPr>
          <w:p w14:paraId="14AFAAB6" w14:textId="77777777" w:rsidR="002E0C06" w:rsidRPr="00CD129C" w:rsidRDefault="002E0C06" w:rsidP="002E0C06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Výdaje do 10 000 Kč lze uvést v Seznamu účetních dokladů v MS2014+ a nedokládat k nim faktury, </w:t>
            </w:r>
            <w:r w:rsidR="0017758F">
              <w:rPr>
                <w:sz w:val="22"/>
                <w:szCs w:val="22"/>
                <w:lang w:val="cs-CZ"/>
              </w:rPr>
              <w:t>paragony a další účetní doklady;</w:t>
            </w:r>
            <w:r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3234D1FF" w14:textId="77777777" w:rsidR="002E0C06" w:rsidRPr="00CD129C" w:rsidRDefault="0017758F" w:rsidP="002E0C06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</w:t>
            </w:r>
            <w:r w:rsidR="002E0C06" w:rsidRPr="00CD129C">
              <w:rPr>
                <w:sz w:val="22"/>
                <w:szCs w:val="22"/>
                <w:lang w:val="cs-CZ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  <w:lang w:val="cs-CZ"/>
              </w:rPr>
              <w:t>etně DPH za jeden účetní doklad;</w:t>
            </w:r>
            <w:r w:rsidR="002E0C06"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2F690139" w14:textId="4DA3FC0C" w:rsidR="002E0C06" w:rsidRPr="00CD129C" w:rsidRDefault="0017758F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/>
              </w:rPr>
              <w:t>p</w:t>
            </w:r>
            <w:r w:rsidR="002E0C06" w:rsidRPr="00CD129C">
              <w:rPr>
                <w:sz w:val="22"/>
                <w:szCs w:val="22"/>
                <w:lang w:val="cs-CZ"/>
              </w:rPr>
              <w:t>ro tyto výdaje platí povinnost předložit v</w:t>
            </w:r>
            <w:r w:rsidR="007461DC">
              <w:rPr>
                <w:sz w:val="22"/>
                <w:szCs w:val="22"/>
                <w:lang w:val="cs-CZ"/>
              </w:rPr>
              <w:t> </w:t>
            </w:r>
            <w:r w:rsidR="002E0C06" w:rsidRPr="00CD129C">
              <w:rPr>
                <w:sz w:val="22"/>
                <w:szCs w:val="22"/>
                <w:lang w:val="cs-CZ"/>
              </w:rPr>
              <w:t>případě kontroly originály příslušných účetních dokladů.</w:t>
            </w:r>
          </w:p>
        </w:tc>
      </w:tr>
    </w:tbl>
    <w:p w14:paraId="1C2D5233" w14:textId="77777777" w:rsidR="006A6582" w:rsidRDefault="006A6582"/>
    <w:sectPr w:rsidR="006A6582" w:rsidSect="00FF4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37D4" w14:textId="77777777" w:rsidR="005131D6" w:rsidRDefault="005131D6" w:rsidP="00FF4CE5">
      <w:pPr>
        <w:spacing w:after="0"/>
      </w:pPr>
      <w:r>
        <w:separator/>
      </w:r>
    </w:p>
  </w:endnote>
  <w:endnote w:type="continuationSeparator" w:id="0">
    <w:p w14:paraId="00691618" w14:textId="77777777" w:rsidR="005131D6" w:rsidRDefault="005131D6" w:rsidP="00FF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DC00" w14:textId="77777777" w:rsidR="00125A87" w:rsidRDefault="00125A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2915"/>
      <w:docPartObj>
        <w:docPartGallery w:val="Page Numbers (Bottom of Page)"/>
        <w:docPartUnique/>
      </w:docPartObj>
    </w:sdtPr>
    <w:sdtEndPr/>
    <w:sdtContent>
      <w:p w14:paraId="5E80883A" w14:textId="77777777" w:rsidR="00B75437" w:rsidRDefault="00B75437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B75437" w:rsidRPr="00E47FC1" w14:paraId="2E23C620" w14:textId="77777777" w:rsidTr="007512C5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3F70DD0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7D997E4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1A4C991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9D57AF2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DDA6364" w14:textId="5E63B112" w:rsidR="00B75437" w:rsidRPr="00E47FC1" w:rsidRDefault="00B75437" w:rsidP="007512C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D7187B">
                <w:rPr>
                  <w:rStyle w:val="slostrnky"/>
                  <w:rFonts w:ascii="Arial" w:hAnsi="Arial" w:cs="Arial"/>
                  <w:noProof/>
                </w:rPr>
                <w:t>2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D7187B">
                <w:rPr>
                  <w:rStyle w:val="slostrnky"/>
                  <w:rFonts w:ascii="Arial" w:hAnsi="Arial" w:cs="Arial"/>
                  <w:noProof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</w:p>
          </w:tc>
        </w:tr>
      </w:tbl>
      <w:p w14:paraId="2D748873" w14:textId="77777777" w:rsidR="008427CF" w:rsidRDefault="00D7187B">
        <w:pPr>
          <w:pStyle w:val="Zpat"/>
          <w:jc w:val="center"/>
        </w:pPr>
      </w:p>
    </w:sdtContent>
  </w:sdt>
  <w:p w14:paraId="6AA380E9" w14:textId="77777777" w:rsidR="008427CF" w:rsidRDefault="008427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125A87" w:rsidRPr="00E47FC1" w14:paraId="4D324026" w14:textId="77777777" w:rsidTr="006C7748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D72EC" w14:textId="77777777" w:rsidR="00125A87" w:rsidRPr="00E47FC1" w:rsidRDefault="00125A87" w:rsidP="006C7748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7EEC82A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E81B39F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0D4B5BA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B4C67AD" w14:textId="5D51666B" w:rsidR="00125A87" w:rsidRPr="00E47FC1" w:rsidRDefault="00125A87" w:rsidP="006C7748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7187B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7187B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D3C5A7" w14:textId="77777777" w:rsidR="00125A87" w:rsidRDefault="00125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7904" w14:textId="77777777" w:rsidR="005131D6" w:rsidRDefault="005131D6" w:rsidP="00FF4CE5">
      <w:pPr>
        <w:spacing w:after="0"/>
      </w:pPr>
      <w:r>
        <w:separator/>
      </w:r>
    </w:p>
  </w:footnote>
  <w:footnote w:type="continuationSeparator" w:id="0">
    <w:p w14:paraId="12BA45DA" w14:textId="77777777" w:rsidR="005131D6" w:rsidRDefault="005131D6" w:rsidP="00FF4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0A69" w14:textId="77777777" w:rsidR="00125A87" w:rsidRDefault="00125A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1F39" w14:textId="77777777" w:rsidR="002207A5" w:rsidRDefault="002207A5" w:rsidP="002207A5">
    <w:pPr>
      <w:pStyle w:val="Zhlav"/>
      <w:ind w:firstLine="708"/>
    </w:pPr>
    <w:r>
      <w:rPr>
        <w:noProof/>
        <w:lang w:eastAsia="cs-CZ"/>
      </w:rPr>
      <w:drawing>
        <wp:inline distT="0" distB="0" distL="0" distR="0" wp14:anchorId="658F0D99" wp14:editId="3C09A5E3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071F" w14:textId="77777777" w:rsidR="00FF4CE5" w:rsidRDefault="00FF4CE5">
    <w:pPr>
      <w:pStyle w:val="Zhlav"/>
    </w:pPr>
    <w:r>
      <w:rPr>
        <w:noProof/>
        <w:lang w:eastAsia="cs-CZ"/>
      </w:rPr>
      <w:drawing>
        <wp:inline distT="0" distB="0" distL="0" distR="0" wp14:anchorId="592DC03E" wp14:editId="4B34EF00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13F"/>
    <w:multiLevelType w:val="hybridMultilevel"/>
    <w:tmpl w:val="319A3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66BA"/>
    <w:multiLevelType w:val="hybridMultilevel"/>
    <w:tmpl w:val="6858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0E17"/>
    <w:multiLevelType w:val="hybridMultilevel"/>
    <w:tmpl w:val="8B1A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438C"/>
    <w:multiLevelType w:val="hybridMultilevel"/>
    <w:tmpl w:val="655E4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C08AE"/>
    <w:multiLevelType w:val="hybridMultilevel"/>
    <w:tmpl w:val="B0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56704"/>
    <w:multiLevelType w:val="hybridMultilevel"/>
    <w:tmpl w:val="B158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74DE"/>
    <w:multiLevelType w:val="hybridMultilevel"/>
    <w:tmpl w:val="77021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64990"/>
    <w:multiLevelType w:val="hybridMultilevel"/>
    <w:tmpl w:val="97F6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A14C0"/>
    <w:multiLevelType w:val="hybridMultilevel"/>
    <w:tmpl w:val="9034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90D70"/>
    <w:multiLevelType w:val="hybridMultilevel"/>
    <w:tmpl w:val="7C52C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43CEE"/>
    <w:multiLevelType w:val="hybridMultilevel"/>
    <w:tmpl w:val="F6DA9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55A55"/>
    <w:multiLevelType w:val="multilevel"/>
    <w:tmpl w:val="547A3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7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3"/>
  </w:num>
  <w:num w:numId="13">
    <w:abstractNumId w:val="4"/>
  </w:num>
  <w:num w:numId="14">
    <w:abstractNumId w:val="17"/>
  </w:num>
  <w:num w:numId="15">
    <w:abstractNumId w:val="1"/>
  </w:num>
  <w:num w:numId="1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4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8"/>
  </w:num>
  <w:num w:numId="25">
    <w:abstractNumId w:val="6"/>
  </w:num>
  <w:num w:numId="26">
    <w:abstractNumId w:val="10"/>
  </w:num>
  <w:num w:numId="27">
    <w:abstractNumId w:val="12"/>
  </w:num>
  <w:num w:numId="28">
    <w:abstractNumId w:val="5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5"/>
    <w:rsid w:val="000B552A"/>
    <w:rsid w:val="000C657B"/>
    <w:rsid w:val="00125A87"/>
    <w:rsid w:val="0017758F"/>
    <w:rsid w:val="002207A5"/>
    <w:rsid w:val="002E0C06"/>
    <w:rsid w:val="002F7B44"/>
    <w:rsid w:val="003B1DC1"/>
    <w:rsid w:val="003C0C25"/>
    <w:rsid w:val="00434F41"/>
    <w:rsid w:val="0043694D"/>
    <w:rsid w:val="004744B6"/>
    <w:rsid w:val="005131D6"/>
    <w:rsid w:val="00536B9E"/>
    <w:rsid w:val="00573DBC"/>
    <w:rsid w:val="006A4CA2"/>
    <w:rsid w:val="006A6582"/>
    <w:rsid w:val="006E2346"/>
    <w:rsid w:val="006E2A5B"/>
    <w:rsid w:val="00715EBF"/>
    <w:rsid w:val="00742D5C"/>
    <w:rsid w:val="007461DC"/>
    <w:rsid w:val="007930DD"/>
    <w:rsid w:val="007F00C9"/>
    <w:rsid w:val="008427CF"/>
    <w:rsid w:val="00870FA3"/>
    <w:rsid w:val="008A04C9"/>
    <w:rsid w:val="00A42C55"/>
    <w:rsid w:val="00A7490C"/>
    <w:rsid w:val="00A936F7"/>
    <w:rsid w:val="00B75437"/>
    <w:rsid w:val="00B8401C"/>
    <w:rsid w:val="00BA7BDE"/>
    <w:rsid w:val="00BB0EE9"/>
    <w:rsid w:val="00BF33F1"/>
    <w:rsid w:val="00C37F0C"/>
    <w:rsid w:val="00C94438"/>
    <w:rsid w:val="00C96EAE"/>
    <w:rsid w:val="00CE58EB"/>
    <w:rsid w:val="00D24580"/>
    <w:rsid w:val="00D467A8"/>
    <w:rsid w:val="00D7187B"/>
    <w:rsid w:val="00E26586"/>
    <w:rsid w:val="00E920DF"/>
    <w:rsid w:val="00EB0444"/>
    <w:rsid w:val="00F41609"/>
    <w:rsid w:val="00F63071"/>
    <w:rsid w:val="00F84874"/>
    <w:rsid w:val="00FB49AA"/>
    <w:rsid w:val="00FC4403"/>
    <w:rsid w:val="00FE24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3F5E"/>
  <w15:docId w15:val="{4FAE1E25-2090-4CD8-ABB8-61B8D18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rsid w:val="00B75437"/>
    <w:rPr>
      <w:rFonts w:cs="Times New Roman"/>
    </w:rPr>
  </w:style>
  <w:style w:type="table" w:styleId="Mkatabulky">
    <w:name w:val="Table Grid"/>
    <w:basedOn w:val="Normlntabulka"/>
    <w:uiPriority w:val="59"/>
    <w:rsid w:val="00BB0EE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870F-A11A-4836-BF0C-CF6CFDC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Soňa Habová</cp:lastModifiedBy>
  <cp:revision>36</cp:revision>
  <dcterms:created xsi:type="dcterms:W3CDTF">2016-09-21T09:18:00Z</dcterms:created>
  <dcterms:modified xsi:type="dcterms:W3CDTF">2018-05-03T04:59:00Z</dcterms:modified>
</cp:coreProperties>
</file>